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8bcb8ff2-dace-4d23-859e-d17d3441e36c"/>
        <w:rPr>
          <w:color w:val="auto"/>
        </w:rPr>
      </w:pPr>
      <w:bookmarkStart w:id="0" w:name="_Toc200193033"/>
      <w:r>
        <w:rPr>
          <w:rFonts w:hint="eastAsia"/>
          <w:color w:val="auto"/>
        </w:rPr>
        <w:t>信息系统</w:t>
      </w:r>
      <w:bookmarkEnd w:id="0"/>
    </w:p>
    <w:p>
      <w:pPr>
        <w:pStyle w:val="09b61a0b-e317-422a-9d83-84c3e9e1937f"/>
        <w:numPr>
          <w:ilvl w:val="3"/>
          <w:numId w:val="2"/>
        </w:numPr>
        <w:rPr>
          <w:rFonts w:ascii="Arial" w:hAnsi="Arial"/>
          <w:b w:val="0"/>
          <w:bCs w:val="0"/>
          <w:color w:val="auto"/>
          <w:kern w:val="0"/>
          <w:szCs w:val="20"/>
        </w:rPr>
      </w:pPr>
      <w:r>
        <w:rPr>
          <w:color w:val="auto"/>
        </w:rPr>
        <w:t>立体储存库管理系统（WMS）</w:t>
      </w:r>
      <w:r>
        <w:rPr>
          <w:rFonts w:hint="eastAsia"/>
          <w:color w:val="auto"/>
        </w:rPr>
        <w:t>技术要求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基础数据模块，包括以下功能：用户管理、产品信息管理、角色管理、库房管理、人员信息管理、库位管理、托盘管理、模块设置。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日常管理模块，包括以下功能：入库管理、出库管理、库内管理、盘点管理、任务管理。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查询统计模块，包括以下模块：入库查询、出库查询、盘点查询、操作日志、移库查询。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指定货物的自动输送功能；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指定货物的自动入库功能；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指定货物的自动出库功能；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现场信息的自动采集和条屏提示；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库区分配，库区信息的实时监控反馈，上报及显示；</w:t>
      </w:r>
    </w:p>
    <w:p>
      <w:pPr>
        <w:numPr>
          <w:ilvl w:val="0"/>
          <w:numId w:val="4"/>
        </w:numPr>
        <w:spacing w:line="360" w:lineRule="auto"/>
        <w:ind w:left="0" w:firstLineChars="177" w:firstLine="389"/>
        <w:rPr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通过接口程序与招标人ERP系统对接，实现统一管理和资源共享。满足企业信息交互、资源共享平台实现的功能。</w:t>
      </w:r>
    </w:p>
    <w:p>
      <w:pPr>
        <w:pStyle w:val="09b61a0b-e317-422a-9d83-84c3e9e1937f"/>
        <w:numPr>
          <w:ilvl w:val="3"/>
          <w:numId w:val="2"/>
        </w:numPr>
        <w:rPr>
          <w:b w:val="0"/>
          <w:color w:val="auto"/>
          <w:szCs w:val="24"/>
        </w:rPr>
      </w:pPr>
      <w:r>
        <w:rPr>
          <w:color w:val="auto"/>
        </w:rPr>
        <w:t>立体储存库控制系统（WCS）</w:t>
      </w:r>
      <w:r>
        <w:rPr>
          <w:rFonts w:hint="eastAsia"/>
          <w:color w:val="auto"/>
        </w:rPr>
        <w:t>技术要求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实时监控。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支持局部放大及实时动态。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停止、运行、故障、禁用状态按不同颜色或动画显示。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提供参数设置界面，从PLC读取设备当前参数。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支持参数初始化，向PLC写入修改的设备参数。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从PLC读取条码信息，向WMS发送条码信息及编码，接收WMS返回信息。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lastRenderedPageBreak/>
        <w:t>向PLC发送任务指令，读取PLC任务返回值，确定是否完成。</w:t>
      </w:r>
    </w:p>
    <w:p>
      <w:pPr>
        <w:numPr>
          <w:ilvl w:val="0"/>
          <w:numId w:val="6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系统、任务、系统故障、操作日志记录。</w:t>
      </w:r>
    </w:p>
    <w:p>
      <w:pPr>
        <w:pStyle w:val="a3"/>
        <w:rPr>
          <w:lang w:val="en-AU"/>
        </w:rPr>
      </w:pPr>
    </w:p>
    <w:p>
      <w:pPr>
        <w:pStyle w:val="09b61a0b-e317-422a-9d83-84c3e9e1937f"/>
        <w:numPr>
          <w:ilvl w:val="3"/>
          <w:numId w:val="2"/>
        </w:numPr>
        <w:rPr>
          <w:b w:val="0"/>
          <w:color w:val="auto"/>
          <w:szCs w:val="24"/>
        </w:rPr>
      </w:pPr>
      <w:r>
        <w:rPr>
          <w:color w:val="auto"/>
        </w:rPr>
        <w:t>运行监控系统</w:t>
      </w:r>
    </w:p>
    <w:p>
      <w:pPr>
        <w:numPr>
          <w:ilvl w:val="0"/>
          <w:numId w:val="7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可以自动将生产数据、质量数据、异常信息等车间生产信息自动实时显示在车间的LED显示屏、液晶显示器或相关人员的电脑上，实现车间生产管理数字化、透明化和可视化。</w:t>
      </w:r>
    </w:p>
    <w:p>
      <w:pPr>
        <w:numPr>
          <w:ilvl w:val="0"/>
          <w:numId w:val="7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对异常情况进行实时播报。</w:t>
      </w:r>
    </w:p>
    <w:p>
      <w:pPr>
        <w:numPr>
          <w:ilvl w:val="0"/>
          <w:numId w:val="7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分析统计异常情况。</w:t>
      </w:r>
    </w:p>
    <w:p>
      <w:pPr>
        <w:numPr>
          <w:ilvl w:val="0"/>
          <w:numId w:val="7"/>
        </w:numPr>
        <w:spacing w:line="360" w:lineRule="auto"/>
        <w:ind w:left="0" w:firstLineChars="177" w:firstLine="389"/>
        <w:rPr>
          <w:rFonts w:ascii="微软雅黑" w:eastAsia="微软雅黑" w:hAnsi="微软雅黑" w:cs="宋体"/>
          <w:kern w:val="0"/>
          <w:sz w:val="22"/>
          <w:szCs w:val="21"/>
          <w:lang w:val="en-AU"/>
        </w:rPr>
      </w:pPr>
      <w:r>
        <w:rPr>
          <w:rFonts w:ascii="微软雅黑" w:eastAsia="微软雅黑" w:hAnsi="微软雅黑" w:cs="宋体" w:hint="eastAsia"/>
          <w:kern w:val="0"/>
          <w:sz w:val="22"/>
          <w:szCs w:val="21"/>
          <w:lang w:val="en-AU"/>
        </w:rPr>
        <w:t>线站长能够实时查看系统运行情况。</w:t>
      </w:r>
    </w:p>
    <w:p>
      <w:pPr>
        <w:pStyle w:val="a3"/>
        <w:rPr>
          <w:lang w:val="en-AU"/>
        </w:rPr>
      </w:pPr>
    </w:p>
    <w:p>
      <w:pPr>
        <w:pStyle w:val="09b61a0b-e317-422a-9d83-84c3e9e1937f"/>
        <w:numPr>
          <w:ilvl w:val="3"/>
          <w:numId w:val="2"/>
        </w:numPr>
        <w:rPr>
          <w:b w:val="0"/>
          <w:color w:val="auto"/>
          <w:szCs w:val="24"/>
        </w:rPr>
      </w:pPr>
      <w:r>
        <w:rPr>
          <w:rFonts w:hint="eastAsia"/>
          <w:color w:val="auto"/>
        </w:rPr>
        <w:t>软件系统</w:t>
      </w:r>
    </w:p>
    <w:p>
      <w:pPr>
        <w:pStyle w:val="p15"/>
        <w:tabs>
          <w:tab w:val="left" w:pos="480"/>
        </w:tabs>
        <w:spacing w:line="360" w:lineRule="auto"/>
        <w:ind w:firstLineChars="177" w:firstLine="389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WMS系统软件可与ERP系统对接（按需），实现信息化管理功能。可通过</w:t>
      </w:r>
      <w:proofErr w:type="gramStart"/>
      <w:r>
        <w:rPr>
          <w:rFonts w:ascii="微软雅黑" w:eastAsia="微软雅黑" w:hAnsi="微软雅黑" w:hint="eastAsia"/>
          <w:sz w:val="22"/>
          <w:szCs w:val="22"/>
        </w:rPr>
        <w:t>扫码枪</w:t>
      </w:r>
      <w:proofErr w:type="gramEnd"/>
      <w:r>
        <w:rPr>
          <w:rFonts w:ascii="微软雅黑" w:eastAsia="微软雅黑" w:hAnsi="微软雅黑" w:hint="eastAsia"/>
          <w:sz w:val="22"/>
          <w:szCs w:val="22"/>
        </w:rPr>
        <w:t>识别工卡条码，从ERP系统中获取产品信息并自动录入WMS系统，同时通过读码器识别托盘标签将产品信息与转运托盘进行绑定。WMS系统支持人工录入和修改存库信息。软件功能要求如下：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529"/>
        <w:gridCol w:w="1444"/>
        <w:gridCol w:w="790"/>
        <w:gridCol w:w="4533"/>
      </w:tblGrid>
      <w:tr>
        <w:trPr>
          <w:trHeight w:val="20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功能分类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功能模块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序号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子功能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WMS系统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基础管理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用户管理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角色管理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库区设置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库位设置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5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物料管理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入库管理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产品入库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入库报表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出库管理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产品出库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出库报表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盘点管理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库位盘点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盘点报表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统计查询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库存报表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商品查询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3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异常和操作日志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4</w:t>
            </w:r>
          </w:p>
        </w:tc>
        <w:tc>
          <w:tcPr>
            <w:tcW w:w="2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统计和查询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WCS系统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任务管理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AGV任务收发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AGV任务管理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3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四向车任务收发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4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四向车任务管理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作业调度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AGV设备调度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四向车设备调度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设备监控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AGV设备调度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四向车设备调度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异常处理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AGV异常处理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AGV手动控制（用遥控器）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3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四向车异常处理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4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四向车手动控制（用遥控器）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运行日志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日志记录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日志查看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接口软件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外部接口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1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ERP接口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2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打包机接口</w:t>
            </w:r>
          </w:p>
        </w:tc>
      </w:tr>
      <w:tr>
        <w:trPr>
          <w:trHeight w:val="20"/>
          <w:jc w:val="center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3</w:t>
            </w:r>
          </w:p>
        </w:tc>
        <w:tc>
          <w:tcPr>
            <w:tcW w:w="2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38" w:left="-80"/>
              <w:jc w:val="center"/>
              <w:rPr>
                <w:rFonts w:ascii="微软雅黑" w:eastAsia="微软雅黑" w:hAnsi="微软雅黑" w:cs="仿宋"/>
                <w:sz w:val="22"/>
              </w:rPr>
            </w:pPr>
            <w:r>
              <w:rPr>
                <w:rFonts w:ascii="微软雅黑" w:eastAsia="微软雅黑" w:hAnsi="微软雅黑" w:cs="仿宋" w:hint="eastAsia"/>
                <w:sz w:val="22"/>
              </w:rPr>
              <w:t>物流接口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软件系统要求结构明晰、分层合理、维护简单，由仓储管理软件、调度监控软件和设备控制软件组成。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仓储管理软件要求自动升降货架数据保存在本地服务器，可在本地进行出入库操作。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可通过远程电脑</w:t>
      </w:r>
      <w:proofErr w:type="gramStart"/>
      <w:r>
        <w:rPr>
          <w:rFonts w:ascii="微软雅黑" w:eastAsia="微软雅黑" w:hAnsi="微软雅黑" w:hint="eastAsia"/>
          <w:sz w:val="22"/>
        </w:rPr>
        <w:t>查询立库库存</w:t>
      </w:r>
      <w:proofErr w:type="gramEnd"/>
      <w:r>
        <w:rPr>
          <w:rFonts w:ascii="微软雅黑" w:eastAsia="微软雅黑" w:hAnsi="微软雅黑" w:hint="eastAsia"/>
          <w:sz w:val="22"/>
        </w:rPr>
        <w:t>信息。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用户管理：能够进行授权管理，针对不用用户开放不同的功能模块，具备添加、删除、修改用户信息的功能。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托盘管理：能够查询每个库位中托盘编号及存放的产品信息，实时更新托盘存放产品信息。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产品信息管理：能够通过筛选功能（如产品令号、时间、型号等），查询立库中符合条件的所有产品在立库中的位置和相关信息，位置信息以</w:t>
      </w:r>
      <w:proofErr w:type="gramStart"/>
      <w:r>
        <w:rPr>
          <w:rFonts w:ascii="微软雅黑" w:eastAsia="微软雅黑" w:hAnsi="微软雅黑" w:hint="eastAsia"/>
          <w:sz w:val="22"/>
        </w:rPr>
        <w:t>二维图的</w:t>
      </w:r>
      <w:proofErr w:type="gramEnd"/>
      <w:r>
        <w:rPr>
          <w:rFonts w:ascii="微软雅黑" w:eastAsia="微软雅黑" w:hAnsi="微软雅黑" w:hint="eastAsia"/>
          <w:sz w:val="22"/>
        </w:rPr>
        <w:t>形式显示在电视看板上。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出、入库管理：能够记录产品出入库时间，手动录入出入库单，WMS更新库存信息，并同步更新货位信息。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库位管理：能够根据分区管理原则进行库位的管理，库位状态以图形的方式浏览各巷道的库位存储状态、产品存储的分布情况以及库位的使用状态。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库位的状态分为：库位空闲、待入库占用、待出库、已存储。库位精确定位、物料库存数据的实时显示、过程数据查询及报表信息及时汇总，达到充分利用有限仓库</w:t>
      </w:r>
      <w:r>
        <w:rPr>
          <w:rFonts w:ascii="微软雅黑" w:eastAsia="微软雅黑" w:hAnsi="微软雅黑" w:hint="eastAsia"/>
          <w:sz w:val="22"/>
        </w:rPr>
        <w:lastRenderedPageBreak/>
        <w:t>空间和对仓储状态全面监控的目的。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统计模块：统计模块的作用是对出入库数据、库存数据等的合计、汇总，以及通过盘点查询，对统计数据进行筛选，对筛选查询出的数据提供导出等功能。可导出excel、word等格式文件。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任务管理：能够对人工下发的任务进行工作分解，高效完成出入库任务，若出现突发状态如停电、故障、急停等，能够记录当前任务信息，恢复后提示继续或取消当前任务。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运行日志：能够记录自动升降货架运行情况和异常情况信息，便于定期维护。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智能仓储系统服务器由投标方提供，可放置在现场或用户机房。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所有软件系统能够在win10操作系统下流畅运行。</w:t>
      </w:r>
    </w:p>
    <w:p>
      <w:pPr>
        <w:numPr>
          <w:ilvl w:val="0"/>
          <w:numId w:val="5"/>
        </w:numPr>
        <w:spacing w:line="360" w:lineRule="auto"/>
        <w:ind w:left="0" w:firstLine="567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软件不能够预留特殊权限，避免数据外泄。</w:t>
      </w:r>
    </w:p>
    <w:p>
      <w:pPr>
        <w:pStyle w:val="77ad09a9-0fa2-4863-8f9a-999351905fd0"/>
        <w:ind w:left="420"/>
        <w:rPr>
          <w:color w:val="auto"/>
          <w:szCs w:val="22"/>
          <w:lang w:eastAsia="zh-CN"/>
        </w:rPr>
      </w:pPr>
      <w:r>
        <w:rPr>
          <w:rFonts w:hint="eastAsia"/>
          <w:color w:val="auto"/>
          <w:szCs w:val="22"/>
          <w:lang w:eastAsia="zh-CN"/>
        </w:rPr>
        <w:t>PLC控制系统、接口软件需提供源程序。AGV调度系统、监控系统（看板）需提供二次开发接口和授权。</w:t>
      </w:r>
      <w:bookmarkStart w:id="1" w:name="_Toc14069"/>
      <w:bookmarkStart w:id="2" w:name="_Toc153376501"/>
      <w:bookmarkStart w:id="3" w:name="_Toc14261"/>
      <w:bookmarkStart w:id="4" w:name="_Toc6027"/>
      <w:bookmarkStart w:id="5" w:name="_Toc642"/>
    </w:p>
    <w:p>
      <w:pPr>
        <w:pStyle w:val="77ad09a9-0fa2-4863-8f9a-999351905fd0"/>
        <w:ind w:left="420"/>
        <w:rPr>
          <w:color w:val="auto"/>
          <w:szCs w:val="22"/>
          <w:lang w:eastAsia="zh-CN"/>
        </w:rPr>
      </w:pPr>
    </w:p>
    <w:p>
      <w:pPr>
        <w:pStyle w:val="09b61a0b-e317-422a-9d83-84c3e9e1937f"/>
        <w:numPr>
          <w:ilvl w:val="3"/>
          <w:numId w:val="2"/>
        </w:numPr>
        <w:rPr>
          <w:rFonts w:ascii="Arial" w:hAnsi="Arial"/>
          <w:b w:val="0"/>
          <w:color w:val="auto"/>
        </w:rPr>
      </w:pPr>
      <w:r>
        <w:rPr>
          <w:rFonts w:hint="eastAsia"/>
          <w:color w:val="auto"/>
        </w:rPr>
        <w:t>系统设计</w:t>
      </w:r>
      <w:bookmarkEnd w:id="1"/>
      <w:bookmarkEnd w:id="2"/>
      <w:bookmarkEnd w:id="3"/>
      <w:bookmarkEnd w:id="4"/>
      <w:bookmarkEnd w:id="5"/>
    </w:p>
    <w:p>
      <w:pPr>
        <w:numPr>
          <w:ilvl w:val="0"/>
          <w:numId w:val="3"/>
        </w:numPr>
        <w:snapToGrid w:val="0"/>
        <w:spacing w:after="24"/>
        <w:ind w:left="0" w:firstLineChars="200" w:firstLine="420"/>
        <w:rPr>
          <w:rFonts w:hAnsi="微软雅黑"/>
          <w:b/>
        </w:rPr>
      </w:pPr>
      <w:r>
        <w:rPr>
          <w:rFonts w:hAnsi="微软雅黑" w:hint="eastAsia"/>
          <w:b/>
        </w:rPr>
        <w:t>系统框架（仅供参考）</w:t>
      </w:r>
    </w:p>
    <w:p>
      <w:pPr>
        <w:widowControl/>
        <w:spacing w:before="163" w:after="163"/>
        <w:ind w:firstLine="480"/>
        <w:jc w:val="center"/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>
            <wp:extent cx="5750560" cy="2388870"/>
            <wp:effectExtent l="0" t="0" r="0" b="0"/>
            <wp:docPr id="1737671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napToGrid w:val="0"/>
        <w:spacing w:after="24"/>
        <w:ind w:left="0" w:firstLineChars="200" w:firstLine="420"/>
        <w:rPr>
          <w:rFonts w:hAnsi="微软雅黑"/>
          <w:b/>
        </w:rPr>
      </w:pPr>
      <w:r>
        <w:rPr>
          <w:rFonts w:hAnsi="微软雅黑" w:hint="eastAsia"/>
          <w:b/>
        </w:rPr>
        <w:t>技术架构（仅供参考）</w:t>
      </w:r>
    </w:p>
    <w:p>
      <w:pPr>
        <w:widowControl/>
        <w:spacing w:before="163" w:after="163"/>
        <w:ind w:firstLineChars="300" w:firstLine="63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>
            <wp:extent cx="5753735" cy="2750185"/>
            <wp:effectExtent l="0" t="0" r="0" b="0"/>
            <wp:docPr id="13767971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napToGrid w:val="0"/>
        <w:spacing w:after="24"/>
        <w:ind w:left="0" w:firstLineChars="200" w:firstLine="420"/>
        <w:rPr>
          <w:rFonts w:hAnsi="微软雅黑"/>
          <w:b/>
        </w:rPr>
      </w:pPr>
      <w:r>
        <w:rPr>
          <w:rFonts w:hAnsi="微软雅黑" w:hint="eastAsia"/>
          <w:b/>
        </w:rPr>
        <w:t>网络架构（仅供参考）</w:t>
      </w:r>
    </w:p>
    <w:p>
      <w:pPr>
        <w:widowControl/>
        <w:spacing w:before="163" w:after="163"/>
        <w:ind w:firstLine="480"/>
        <w:rPr>
          <w:rFonts w:asciiTheme="minorEastAsia" w:hAnsiTheme="minorEastAsia"/>
          <w:lang w:val="de-DE"/>
        </w:rPr>
      </w:pPr>
      <w:r>
        <w:rPr>
          <w:noProof/>
        </w:rPr>
        <w:lastRenderedPageBreak/>
        <w:drawing>
          <wp:inline distT="0" distB="0" distL="0" distR="0">
            <wp:extent cx="4305868" cy="2749131"/>
            <wp:effectExtent l="0" t="0" r="0" b="0"/>
            <wp:docPr id="17631735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639" cy="27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63" w:after="163"/>
        <w:ind w:firstLine="480"/>
        <w:rPr>
          <w:rFonts w:asciiTheme="minorEastAsia" w:hAnsiTheme="minorEastAsia"/>
          <w:lang w:val="de-DE"/>
        </w:rPr>
      </w:pPr>
    </w:p>
    <w:p>
      <w:pPr>
        <w:numPr>
          <w:ilvl w:val="0"/>
          <w:numId w:val="3"/>
        </w:numPr>
        <w:snapToGrid w:val="0"/>
        <w:spacing w:after="24"/>
        <w:ind w:left="0" w:firstLineChars="200" w:firstLine="420"/>
        <w:rPr>
          <w:rFonts w:hAnsi="微软雅黑"/>
          <w:b/>
        </w:rPr>
      </w:pPr>
      <w:r>
        <w:rPr>
          <w:rFonts w:hAnsi="微软雅黑" w:hint="eastAsia"/>
          <w:b/>
        </w:rPr>
        <w:t>运行环境</w:t>
      </w:r>
    </w:p>
    <w:tbl>
      <w:tblPr>
        <w:tblW w:w="46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4710"/>
      </w:tblGrid>
      <w:tr>
        <w:trPr>
          <w:trHeight w:val="648"/>
          <w:jc w:val="center"/>
        </w:trPr>
        <w:tc>
          <w:tcPr>
            <w:tcW w:w="3134" w:type="dxa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工作站操作系统</w:t>
            </w:r>
          </w:p>
        </w:tc>
        <w:tc>
          <w:tcPr>
            <w:tcW w:w="4834" w:type="dxa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Win10专业版(64)</w:t>
            </w:r>
          </w:p>
        </w:tc>
      </w:tr>
      <w:tr>
        <w:trPr>
          <w:trHeight w:val="648"/>
          <w:jc w:val="center"/>
        </w:trPr>
        <w:tc>
          <w:tcPr>
            <w:tcW w:w="3134" w:type="dxa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服务器操作系统</w:t>
            </w:r>
          </w:p>
        </w:tc>
        <w:tc>
          <w:tcPr>
            <w:tcW w:w="4834" w:type="dxa"/>
          </w:tcPr>
          <w:p>
            <w:pPr>
              <w:ind w:firstLine="480"/>
            </w:pPr>
            <w:r>
              <w:rPr>
                <w:rFonts w:hint="eastAsia"/>
              </w:rPr>
              <w:t>Windows Server 2020</w:t>
            </w:r>
            <w:r>
              <w:rPr>
                <w:rFonts w:hint="eastAsia"/>
                <w:lang w:val="de-DE"/>
              </w:rPr>
              <w:t>及以上版本</w:t>
            </w:r>
          </w:p>
        </w:tc>
      </w:tr>
      <w:tr>
        <w:trPr>
          <w:trHeight w:val="648"/>
          <w:jc w:val="center"/>
        </w:trPr>
        <w:tc>
          <w:tcPr>
            <w:tcW w:w="3134" w:type="dxa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数据库</w:t>
            </w:r>
          </w:p>
        </w:tc>
        <w:tc>
          <w:tcPr>
            <w:tcW w:w="4834" w:type="dxa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MYSQL  8.0及以上版本</w:t>
            </w:r>
          </w:p>
        </w:tc>
      </w:tr>
      <w:tr>
        <w:trPr>
          <w:trHeight w:val="970"/>
          <w:jc w:val="center"/>
        </w:trPr>
        <w:tc>
          <w:tcPr>
            <w:tcW w:w="3134" w:type="dxa"/>
            <w:vAlign w:val="center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中间件</w:t>
            </w:r>
          </w:p>
        </w:tc>
        <w:tc>
          <w:tcPr>
            <w:tcW w:w="4834" w:type="dxa"/>
            <w:vAlign w:val="center"/>
          </w:tcPr>
          <w:p>
            <w:pPr>
              <w:ind w:firstLine="480"/>
              <w:rPr>
                <w:lang w:val="de-DE"/>
              </w:rPr>
            </w:pPr>
            <w:r>
              <w:rPr>
                <w:rFonts w:hint="eastAsia"/>
                <w:lang w:val="de-DE"/>
              </w:rPr>
              <w:t>.Net Framework 4.5及以上版本、IIS7以上版本、CLR、OPC DA Server等</w:t>
            </w:r>
          </w:p>
        </w:tc>
      </w:tr>
    </w:tbl>
    <w:p>
      <w:pPr>
        <w:pStyle w:val="09b61a0b-e317-422a-9d83-84c3e9e1937f"/>
        <w:numPr>
          <w:ilvl w:val="3"/>
          <w:numId w:val="2"/>
        </w:numPr>
        <w:rPr>
          <w:rFonts w:ascii="Arial" w:hAnsi="Arial"/>
          <w:b w:val="0"/>
          <w:color w:val="auto"/>
        </w:rPr>
      </w:pPr>
      <w:r>
        <w:rPr>
          <w:rFonts w:hint="eastAsia"/>
          <w:color w:val="auto"/>
        </w:rPr>
        <w:t>软件功能模块</w:t>
      </w:r>
    </w:p>
    <w:p>
      <w:pPr>
        <w:ind w:firstLine="480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5939155" cy="16478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</w:pPr>
    </w:p>
    <w:p>
      <w:pPr>
        <w:pStyle w:val="09b61a0b-e317-422a-9d83-84c3e9e1937f"/>
        <w:numPr>
          <w:ilvl w:val="3"/>
          <w:numId w:val="2"/>
        </w:numPr>
        <w:rPr>
          <w:rFonts w:ascii="Arial" w:hAnsi="Arial"/>
          <w:b w:val="0"/>
          <w:color w:val="auto"/>
        </w:rPr>
      </w:pPr>
      <w:r>
        <w:rPr>
          <w:rFonts w:hint="eastAsia"/>
          <w:color w:val="auto"/>
        </w:rPr>
        <w:t>界面要求</w:t>
      </w:r>
    </w:p>
    <w:p>
      <w:pPr>
        <w:ind w:firstLine="482"/>
        <w:rPr>
          <w:rFonts w:ascii="Arial" w:hAnsi="Arial"/>
          <w:b/>
        </w:rPr>
      </w:pPr>
      <w:r>
        <w:rPr>
          <w:rFonts w:ascii="Arial" w:hAnsi="Arial" w:hint="eastAsia"/>
          <w:b/>
        </w:rPr>
        <w:t>投标方在招标阶段提供详细说明方案。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005"/>
    <w:multiLevelType w:val="multilevel"/>
    <w:tmpl w:val="0293700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11C98"/>
    <w:multiLevelType w:val="multilevel"/>
    <w:tmpl w:val="703CBE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E67907"/>
    <w:multiLevelType w:val="multilevel"/>
    <w:tmpl w:val="37E0DD20"/>
    <w:lvl w:ilvl="0">
      <w:start w:val="1"/>
      <w:numFmt w:val="decimal"/>
      <w:lvlRestart w:val="0"/>
      <w:pStyle w:val="e3fb8205-adf9-4d0d-85d1-1a84f91ab844"/>
      <w:suff w:val="space"/>
      <w:lvlText w:val="%1"/>
      <w:lvlJc w:val="left"/>
      <w:pPr>
        <w:ind w:left="357" w:hanging="357"/>
      </w:pPr>
      <w:rPr>
        <w:rFonts w:hint="eastAsia"/>
        <w:b/>
      </w:rPr>
    </w:lvl>
    <w:lvl w:ilvl="1">
      <w:start w:val="1"/>
      <w:numFmt w:val="decimal"/>
      <w:pStyle w:val="a02e6475-35cc-471f-ab8b-7db223c3f9ab"/>
      <w:suff w:val="space"/>
      <w:lvlText w:val="%1.%2"/>
      <w:lvlJc w:val="left"/>
      <w:pPr>
        <w:ind w:left="357" w:hanging="357"/>
      </w:pPr>
      <w:rPr>
        <w:rFonts w:hint="eastAsia"/>
      </w:rPr>
    </w:lvl>
    <w:lvl w:ilvl="2">
      <w:start w:val="1"/>
      <w:numFmt w:val="decimal"/>
      <w:pStyle w:val="8bcb8ff2-dace-4d23-859e-d17d3441e36c"/>
      <w:suff w:val="space"/>
      <w:lvlText w:val="%1.%2.%3"/>
      <w:lvlJc w:val="left"/>
      <w:pPr>
        <w:ind w:left="357" w:hanging="357"/>
      </w:pPr>
      <w:rPr>
        <w:rFonts w:hint="eastAsia"/>
        <w:b/>
      </w:rPr>
    </w:lvl>
    <w:lvl w:ilvl="3">
      <w:start w:val="1"/>
      <w:numFmt w:val="decimal"/>
      <w:pStyle w:val="09b61a0b-e317-422a-9d83-84c3e9e1937f"/>
      <w:suff w:val="space"/>
      <w:lvlText w:val="%1.%2.%3.%4"/>
      <w:lvlJc w:val="left"/>
      <w:pPr>
        <w:ind w:left="357" w:hanging="357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6D200B2"/>
    <w:multiLevelType w:val="multilevel"/>
    <w:tmpl w:val="703CBE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3CBED6"/>
    <w:multiLevelType w:val="multilevel"/>
    <w:tmpl w:val="703CBE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903100B"/>
    <w:multiLevelType w:val="multilevel"/>
    <w:tmpl w:val="79031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Restart w:val="0"/>
        <w:pStyle w:val="e3fb8205-adf9-4d0d-85d1-1a84f91ab844"/>
        <w:suff w:val="space"/>
        <w:lvlText w:val="%1"/>
        <w:lvlJc w:val="left"/>
        <w:pPr>
          <w:ind w:left="357" w:hanging="357"/>
        </w:pPr>
        <w:rPr>
          <w:rFonts w:hint="eastAsia"/>
          <w:b/>
        </w:rPr>
      </w:lvl>
    </w:lvlOverride>
    <w:lvlOverride w:ilvl="1">
      <w:lvl w:ilvl="1">
        <w:start w:val="1"/>
        <w:numFmt w:val="decimal"/>
        <w:pStyle w:val="a02e6475-35cc-471f-ab8b-7db223c3f9ab"/>
        <w:suff w:val="space"/>
        <w:lvlText w:val="%1.%2"/>
        <w:lvlJc w:val="left"/>
        <w:pPr>
          <w:ind w:left="357" w:hanging="357"/>
        </w:pPr>
        <w:rPr>
          <w:rFonts w:hint="eastAsia"/>
          <w:b/>
        </w:rPr>
      </w:lvl>
    </w:lvlOverride>
    <w:lvlOverride w:ilvl="2">
      <w:lvl w:ilvl="2">
        <w:start w:val="1"/>
        <w:numFmt w:val="decimal"/>
        <w:pStyle w:val="8bcb8ff2-dace-4d23-859e-d17d3441e36c"/>
        <w:suff w:val="space"/>
        <w:lvlText w:val="%1.%2.%3"/>
        <w:lvlJc w:val="left"/>
        <w:pPr>
          <w:ind w:left="357" w:hanging="357"/>
        </w:pPr>
        <w:rPr>
          <w:rFonts w:hint="eastAsia"/>
          <w:b/>
        </w:rPr>
      </w:lvl>
    </w:lvlOverride>
    <w:lvlOverride w:ilvl="3">
      <w:lvl w:ilvl="3">
        <w:start w:val="1"/>
        <w:numFmt w:val="decimal"/>
        <w:pStyle w:val="09b61a0b-e317-422a-9d83-84c3e9e1937f"/>
        <w:suff w:val="space"/>
        <w:lvlText w:val="%1.%2.%3.%4"/>
        <w:lvlJc w:val="left"/>
        <w:pPr>
          <w:ind w:left="357" w:hanging="357"/>
        </w:pPr>
        <w:rPr>
          <w:rFonts w:ascii="微软雅黑" w:eastAsia="微软雅黑" w:hAnsi="微软雅黑" w:hint="eastAsia"/>
          <w:b/>
          <w:sz w:val="24"/>
          <w:szCs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8402B-4F69-4635-98EC-3D311E47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ind w:firstLineChars="200" w:firstLine="420"/>
    </w:pPr>
  </w:style>
  <w:style w:type="character" w:customStyle="1" w:styleId="a4">
    <w:name w:val="列表段落 字符"/>
    <w:link w:val="a3"/>
    <w:uiPriority w:val="34"/>
    <w:qFormat/>
    <w:locked/>
  </w:style>
  <w:style w:type="paragraph" w:customStyle="1" w:styleId="e3fb8205-adf9-4d0d-85d1-1a84f91ab844">
    <w:name w:val="e3fb8205-adf9-4d0d-85d1-1a84f91ab844"/>
    <w:basedOn w:val="1"/>
    <w:next w:val="a02e6475-35cc-471f-ab8b-7db223c3f9ab"/>
    <w:pPr>
      <w:numPr>
        <w:numId w:val="1"/>
      </w:numPr>
      <w:tabs>
        <w:tab w:val="num" w:pos="360"/>
      </w:tabs>
      <w:adjustRightInd w:val="0"/>
      <w:spacing w:before="0" w:after="0" w:line="288" w:lineRule="auto"/>
      <w:ind w:left="0" w:firstLine="0"/>
      <w:jc w:val="left"/>
    </w:pPr>
    <w:rPr>
      <w:rFonts w:ascii="微软雅黑" w:eastAsia="微软雅黑" w:hAnsi="微软雅黑"/>
      <w:color w:val="000000"/>
      <w:sz w:val="32"/>
      <w:szCs w:val="28"/>
    </w:rPr>
  </w:style>
  <w:style w:type="paragraph" w:customStyle="1" w:styleId="a02e6475-35cc-471f-ab8b-7db223c3f9ab">
    <w:name w:val="a02e6475-35cc-471f-ab8b-7db223c3f9ab"/>
    <w:basedOn w:val="2"/>
    <w:next w:val="a"/>
    <w:autoRedefine/>
    <w:pPr>
      <w:numPr>
        <w:ilvl w:val="1"/>
        <w:numId w:val="1"/>
      </w:numPr>
      <w:tabs>
        <w:tab w:val="num" w:pos="360"/>
      </w:tabs>
      <w:adjustRightInd w:val="0"/>
      <w:spacing w:before="0" w:after="0" w:line="288" w:lineRule="auto"/>
      <w:ind w:firstLine="0"/>
      <w:jc w:val="left"/>
    </w:pPr>
    <w:rPr>
      <w:rFonts w:ascii="微软雅黑" w:eastAsia="微软雅黑" w:hAnsi="微软雅黑" w:cs="宋体"/>
      <w:color w:val="000000"/>
      <w:sz w:val="28"/>
      <w:szCs w:val="24"/>
    </w:rPr>
  </w:style>
  <w:style w:type="paragraph" w:customStyle="1" w:styleId="77ad09a9-0fa2-4863-8f9a-999351905fd0">
    <w:name w:val="77ad09a9-0fa2-4863-8f9a-999351905fd0"/>
    <w:basedOn w:val="21"/>
    <w:link w:val="77ad09a9-0fa2-4863-8f9a-999351905fd00"/>
    <w:pPr>
      <w:adjustRightInd w:val="0"/>
      <w:spacing w:after="0" w:line="288" w:lineRule="auto"/>
      <w:ind w:left="0" w:firstLine="440"/>
      <w:jc w:val="left"/>
    </w:pPr>
    <w:rPr>
      <w:rFonts w:ascii="微软雅黑" w:eastAsia="微软雅黑" w:hAnsi="微软雅黑" w:cs="宋体"/>
      <w:color w:val="000000"/>
      <w:kern w:val="0"/>
      <w:sz w:val="22"/>
      <w:szCs w:val="21"/>
      <w:lang w:val="en-AU" w:eastAsia="en-US"/>
    </w:rPr>
  </w:style>
  <w:style w:type="character" w:customStyle="1" w:styleId="77ad09a9-0fa2-4863-8f9a-999351905fd00">
    <w:name w:val="77ad09a9-0fa2-4863-8f9a-999351905fd0 字符"/>
    <w:basedOn w:val="a0"/>
    <w:link w:val="77ad09a9-0fa2-4863-8f9a-999351905fd0"/>
    <w:rPr>
      <w:rFonts w:ascii="微软雅黑" w:eastAsia="微软雅黑" w:hAnsi="微软雅黑" w:cs="宋体"/>
      <w:color w:val="000000"/>
      <w:kern w:val="0"/>
      <w:sz w:val="22"/>
      <w:szCs w:val="21"/>
      <w:lang w:val="en-AU" w:eastAsia="en-US"/>
    </w:rPr>
  </w:style>
  <w:style w:type="paragraph" w:customStyle="1" w:styleId="8bcb8ff2-dace-4d23-859e-d17d3441e36c">
    <w:name w:val="8bcb8ff2-dace-4d23-859e-d17d3441e36c"/>
    <w:basedOn w:val="3"/>
    <w:next w:val="a"/>
    <w:link w:val="8bcb8ff2-dace-4d23-859e-d17d3441e36c0"/>
    <w:pPr>
      <w:numPr>
        <w:ilvl w:val="2"/>
        <w:numId w:val="1"/>
      </w:numPr>
      <w:adjustRightInd w:val="0"/>
      <w:spacing w:before="0" w:after="0" w:line="288" w:lineRule="auto"/>
      <w:jc w:val="left"/>
    </w:pPr>
    <w:rPr>
      <w:rFonts w:ascii="微软雅黑" w:eastAsia="微软雅黑" w:hAnsi="微软雅黑" w:cs="宋体"/>
      <w:color w:val="000000"/>
      <w:sz w:val="26"/>
      <w:szCs w:val="21"/>
    </w:rPr>
  </w:style>
  <w:style w:type="character" w:customStyle="1" w:styleId="8bcb8ff2-dace-4d23-859e-d17d3441e36c0">
    <w:name w:val="8bcb8ff2-dace-4d23-859e-d17d3441e36c 字符"/>
    <w:basedOn w:val="30"/>
    <w:link w:val="8bcb8ff2-dace-4d23-859e-d17d3441e36c"/>
    <w:rPr>
      <w:rFonts w:ascii="微软雅黑" w:eastAsia="微软雅黑" w:hAnsi="微软雅黑" w:cs="宋体"/>
      <w:b/>
      <w:bCs/>
      <w:color w:val="000000"/>
      <w:sz w:val="26"/>
      <w:szCs w:val="21"/>
    </w:rPr>
  </w:style>
  <w:style w:type="paragraph" w:customStyle="1" w:styleId="09b61a0b-e317-422a-9d83-84c3e9e1937f">
    <w:name w:val="09b61a0b-e317-422a-9d83-84c3e9e1937f"/>
    <w:basedOn w:val="4"/>
    <w:next w:val="a"/>
    <w:link w:val="09b61a0b-e317-422a-9d83-84c3e9e1937f0"/>
    <w:pPr>
      <w:numPr>
        <w:ilvl w:val="3"/>
        <w:numId w:val="1"/>
      </w:numPr>
      <w:adjustRightInd w:val="0"/>
      <w:spacing w:before="0" w:after="0" w:line="288" w:lineRule="auto"/>
      <w:jc w:val="left"/>
    </w:pPr>
    <w:rPr>
      <w:rFonts w:ascii="微软雅黑" w:eastAsia="微软雅黑" w:hAnsi="微软雅黑" w:cs="Arial"/>
      <w:color w:val="000000"/>
      <w:sz w:val="24"/>
      <w:szCs w:val="21"/>
    </w:rPr>
  </w:style>
  <w:style w:type="character" w:customStyle="1" w:styleId="09b61a0b-e317-422a-9d83-84c3e9e1937f0">
    <w:name w:val="09b61a0b-e317-422a-9d83-84c3e9e1937f 字符"/>
    <w:basedOn w:val="a0"/>
    <w:link w:val="09b61a0b-e317-422a-9d83-84c3e9e1937f"/>
    <w:rPr>
      <w:rFonts w:ascii="微软雅黑" w:eastAsia="微软雅黑" w:hAnsi="微软雅黑" w:cs="Arial"/>
      <w:b/>
      <w:bCs/>
      <w:color w:val="000000"/>
      <w:sz w:val="24"/>
      <w:szCs w:val="21"/>
    </w:rPr>
  </w:style>
  <w:style w:type="paragraph" w:customStyle="1" w:styleId="p15">
    <w:name w:val="p15"/>
    <w:basedOn w:val="a"/>
    <w:qFormat/>
    <w:pPr>
      <w:widowControl/>
    </w:pPr>
    <w:rPr>
      <w:rFonts w:ascii="Calibri" w:eastAsia="宋体" w:hAnsi="Calibri" w:cs="Times New Roman"/>
      <w:szCs w:val="21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ody Text Indent"/>
    <w:basedOn w:val="a"/>
    <w:link w:val="a6"/>
    <w:uiPriority w:val="99"/>
    <w:semiHidden/>
    <w:unhideWhenUsed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</w:style>
  <w:style w:type="paragraph" w:styleId="21">
    <w:name w:val="Body Text First Indent 2"/>
    <w:basedOn w:val="a5"/>
    <w:link w:val="22"/>
    <w:uiPriority w:val="99"/>
    <w:semiHidden/>
    <w:unhideWhenUsed/>
    <w:pPr>
      <w:ind w:firstLineChars="200" w:firstLine="420"/>
    </w:pPr>
  </w:style>
  <w:style w:type="character" w:customStyle="1" w:styleId="22">
    <w:name w:val="正文文本首行缩进 2 字符"/>
    <w:basedOn w:val="a6"/>
    <w:link w:val="21"/>
    <w:uiPriority w:val="99"/>
    <w:semiHidden/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2025-06-09T07:44:00Z</dcterms:created>
  <dcterms:modified xsi:type="dcterms:W3CDTF">2025-06-09T07:45:00Z</dcterms:modified>
</cp:coreProperties>
</file>