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469"/>
        <w:spacing w:before="69" w:line="220" w:lineRule="auto"/>
        <w:outlineLvl w:val="0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b/>
          <w:bCs/>
          <w:spacing w:val="-9"/>
        </w:rPr>
        <w:t>民事起诉状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95" w:right="286" w:firstLine="493"/>
        <w:spacing w:before="84" w:line="388" w:lineRule="auto"/>
        <w:rPr>
          <w:rFonts w:ascii="Times New Roman" w:hAnsi="Times New Roman" w:eastAsia="Times New Roman" w:cs="Times New Roman"/>
        </w:rPr>
      </w:pPr>
      <w:r>
        <w:rPr>
          <w:b/>
          <w:bCs/>
          <w:spacing w:val="2"/>
        </w:rPr>
        <w:t>原告：</w:t>
      </w:r>
      <w:r>
        <w:rPr>
          <w:spacing w:val="2"/>
        </w:rPr>
        <w:t>安徽智勋劳务服务有限公司，住所地合肥市包河区高铁路</w:t>
      </w:r>
      <w:r>
        <w:rPr>
          <w:spacing w:val="9"/>
        </w:rPr>
        <w:t xml:space="preserve"> </w:t>
      </w:r>
      <w:r>
        <w:rPr>
          <w:spacing w:val="-17"/>
        </w:rPr>
        <w:t>蓝天花园1栋2302室，统一社会信用代码91340104</w:t>
      </w:r>
      <w:r>
        <w:rPr>
          <w:rFonts w:ascii="Times New Roman" w:hAnsi="Times New Roman" w:eastAsia="Times New Roman" w:cs="Times New Roman"/>
          <w:spacing w:val="-17"/>
        </w:rPr>
        <w:t>MA2T4K</w:t>
      </w:r>
      <w:r>
        <w:rPr>
          <w:rFonts w:ascii="Times New Roman" w:hAnsi="Times New Roman" w:eastAsia="Times New Roman" w:cs="Times New Roman"/>
          <w:spacing w:val="-18"/>
        </w:rPr>
        <w:t>FN7K</w:t>
      </w:r>
    </w:p>
    <w:p>
      <w:pPr>
        <w:pStyle w:val="BodyText"/>
        <w:ind w:left="684"/>
        <w:spacing w:before="46" w:line="221" w:lineRule="auto"/>
        <w:rPr/>
      </w:pPr>
      <w:r>
        <w:rPr>
          <w:spacing w:val="7"/>
        </w:rPr>
        <w:t>法定代表人：邹飞</w:t>
      </w:r>
    </w:p>
    <w:p>
      <w:pPr>
        <w:pStyle w:val="BodyText"/>
        <w:ind w:left="195" w:right="354" w:firstLine="493"/>
        <w:spacing w:before="248" w:line="412" w:lineRule="auto"/>
        <w:rPr>
          <w:rFonts w:ascii="Times New Roman" w:hAnsi="Times New Roman" w:eastAsia="Times New Roman" w:cs="Times New Roman"/>
        </w:rPr>
      </w:pPr>
      <w:r>
        <w:rPr>
          <w:b/>
          <w:bCs/>
          <w:spacing w:val="9"/>
        </w:rPr>
        <w:t>被告：</w:t>
      </w:r>
      <w:r>
        <w:rPr>
          <w:spacing w:val="9"/>
        </w:rPr>
        <w:t>上海青手网络科技有限公司，住所地上海市普陀区真南</w:t>
      </w:r>
      <w:r>
        <w:rPr>
          <w:spacing w:val="14"/>
        </w:rPr>
        <w:t xml:space="preserve"> </w:t>
      </w:r>
      <w:r>
        <w:rPr>
          <w:spacing w:val="1"/>
        </w:rPr>
        <w:t>路500号144幢五层，统一社会信用代码91310114</w:t>
      </w:r>
      <w:r>
        <w:rPr>
          <w:rFonts w:ascii="Times New Roman" w:hAnsi="Times New Roman" w:eastAsia="Times New Roman" w:cs="Times New Roman"/>
        </w:rPr>
        <w:t>MA1GUP9888</w:t>
      </w:r>
    </w:p>
    <w:p>
      <w:pPr>
        <w:pStyle w:val="BodyText"/>
        <w:ind w:left="684"/>
        <w:spacing w:before="3" w:line="223" w:lineRule="auto"/>
        <w:rPr/>
      </w:pPr>
      <w:r>
        <w:rPr>
          <w:spacing w:val="6"/>
        </w:rPr>
        <w:t>法定代表人：胡鹏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688"/>
        <w:spacing w:before="84" w:line="220" w:lineRule="auto"/>
        <w:rPr/>
      </w:pPr>
      <w:r>
        <w:rPr>
          <w:b/>
          <w:bCs/>
          <w:spacing w:val="-15"/>
        </w:rPr>
        <w:t>诉讼请求：</w:t>
      </w:r>
    </w:p>
    <w:p>
      <w:pPr>
        <w:pStyle w:val="BodyText"/>
        <w:ind w:left="195" w:right="368" w:firstLine="489"/>
        <w:spacing w:before="265" w:line="391" w:lineRule="auto"/>
        <w:rPr/>
      </w:pPr>
      <w:r>
        <w:rPr>
          <w:spacing w:val="7"/>
        </w:rPr>
        <w:t>一</w:t>
      </w:r>
      <w:r>
        <w:rPr>
          <w:spacing w:val="-64"/>
        </w:rPr>
        <w:t xml:space="preserve"> </w:t>
      </w:r>
      <w:r>
        <w:rPr>
          <w:spacing w:val="7"/>
        </w:rPr>
        <w:t>、判令被告上海青手网络科技有限公司向原告安徽智勋劳务</w:t>
      </w:r>
      <w:r>
        <w:rPr/>
        <w:t xml:space="preserve"> </w:t>
      </w:r>
      <w:r>
        <w:rPr>
          <w:spacing w:val="12"/>
        </w:rPr>
        <w:t>服务有限公司支付服务费23181元及逾期付款违约金</w:t>
      </w:r>
      <w:r>
        <w:rPr>
          <w:spacing w:val="11"/>
        </w:rPr>
        <w:t>896.15元(以</w:t>
      </w:r>
    </w:p>
    <w:p>
      <w:pPr>
        <w:pStyle w:val="BodyText"/>
        <w:ind w:left="195" w:right="154"/>
        <w:spacing w:before="38" w:line="395" w:lineRule="auto"/>
        <w:rPr/>
      </w:pPr>
      <w:r>
        <w:rPr>
          <w:spacing w:val="9"/>
        </w:rPr>
        <w:t>11454元为基数，按照日万分之五的标准，从2024年8月</w:t>
      </w:r>
      <w:r>
        <w:rPr>
          <w:spacing w:val="8"/>
        </w:rPr>
        <w:t>1日起暂计算</w:t>
      </w:r>
      <w:r>
        <w:rPr/>
        <w:t xml:space="preserve"> </w:t>
      </w:r>
      <w:r>
        <w:rPr>
          <w:spacing w:val="8"/>
        </w:rPr>
        <w:t>至2024年11月1日，为532.61元；以11727元为基数，按照日万分之</w:t>
      </w:r>
      <w:r>
        <w:rPr>
          <w:spacing w:val="1"/>
        </w:rPr>
        <w:t xml:space="preserve">  </w:t>
      </w:r>
      <w:r>
        <w:rPr>
          <w:spacing w:val="9"/>
        </w:rPr>
        <w:t>五的标准，从2024年9月1日起暂计算至2024年</w:t>
      </w:r>
      <w:r>
        <w:rPr>
          <w:spacing w:val="8"/>
        </w:rPr>
        <w:t>11月1日，为363.54</w:t>
      </w:r>
    </w:p>
    <w:p>
      <w:pPr>
        <w:pStyle w:val="BodyText"/>
        <w:ind w:left="195"/>
        <w:spacing w:before="42" w:line="222" w:lineRule="auto"/>
        <w:rPr/>
      </w:pPr>
      <w:r>
        <w:rPr>
          <w:spacing w:val="20"/>
        </w:rPr>
        <w:t>元),此后按照上述标准计算至实际付清之日止；</w:t>
      </w:r>
    </w:p>
    <w:p>
      <w:pPr>
        <w:pStyle w:val="BodyText"/>
        <w:ind w:left="195" w:right="359" w:firstLine="489"/>
        <w:spacing w:before="287" w:line="314" w:lineRule="auto"/>
        <w:rPr/>
      </w:pPr>
      <w:r>
        <w:rPr>
          <w:spacing w:val="10"/>
        </w:rPr>
        <w:t>二、判令被告上海青手网络科技有限公司支付原</w:t>
      </w:r>
      <w:r>
        <w:rPr>
          <w:spacing w:val="9"/>
        </w:rPr>
        <w:t>告维权支出的</w:t>
      </w:r>
      <w:r>
        <w:rPr/>
        <w:t xml:space="preserve"> </w:t>
      </w:r>
      <w:r>
        <w:rPr>
          <w:spacing w:val="1"/>
        </w:rPr>
        <w:t>律师代理费5000元；</w:t>
      </w:r>
    </w:p>
    <w:p>
      <w:pPr>
        <w:pStyle w:val="BodyText"/>
        <w:ind w:left="684"/>
        <w:spacing w:before="236" w:line="222" w:lineRule="auto"/>
        <w:rPr/>
      </w:pPr>
      <w:r>
        <w:rPr>
          <w:spacing w:val="5"/>
        </w:rPr>
        <w:t>三、本案的诉讼费用由被告上海青手网络科技</w:t>
      </w:r>
      <w:r>
        <w:rPr>
          <w:spacing w:val="4"/>
        </w:rPr>
        <w:t>有限公司承担。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688"/>
        <w:spacing w:before="85" w:line="222" w:lineRule="auto"/>
        <w:rPr/>
      </w:pPr>
      <w:r>
        <w:rPr>
          <w:b/>
          <w:bCs/>
          <w:spacing w:val="-8"/>
        </w:rPr>
        <w:t>事实与理由：</w:t>
      </w:r>
    </w:p>
    <w:p>
      <w:pPr>
        <w:pStyle w:val="BodyText"/>
        <w:ind w:left="155" w:right="207" w:firstLine="529"/>
        <w:spacing w:before="260" w:line="387" w:lineRule="auto"/>
        <w:jc w:val="both"/>
        <w:rPr/>
      </w:pPr>
      <w:r>
        <w:rPr>
          <w:spacing w:val="9"/>
        </w:rPr>
        <w:t>2024年7月4日，原告与被告签订《解</w:t>
      </w:r>
      <w:r>
        <w:rPr>
          <w:spacing w:val="8"/>
        </w:rPr>
        <w:t>除合同协议书》(以下简称</w:t>
      </w:r>
      <w:r>
        <w:rPr/>
        <w:t xml:space="preserve"> </w:t>
      </w:r>
      <w:r>
        <w:rPr>
          <w:spacing w:val="12"/>
        </w:rPr>
        <w:t>“解除协议”),约定原被告于2024年3月13日签订的《咨询</w:t>
      </w:r>
      <w:r>
        <w:rPr>
          <w:spacing w:val="11"/>
        </w:rPr>
        <w:t>服务合</w:t>
      </w:r>
      <w:r>
        <w:rPr/>
        <w:t xml:space="preserve">  </w:t>
      </w:r>
      <w:r>
        <w:rPr>
          <w:spacing w:val="5"/>
        </w:rPr>
        <w:t>同》就此协商解除，终止履行。其中，解除协议第三条约定，被告应</w:t>
      </w:r>
    </w:p>
    <w:p>
      <w:pPr>
        <w:spacing w:line="387" w:lineRule="auto"/>
        <w:sectPr>
          <w:pgSz w:w="11900" w:h="16840"/>
          <w:pgMar w:top="1355" w:right="1785" w:bottom="0" w:left="1785" w:header="0" w:footer="0" w:gutter="0"/>
        </w:sectPr>
        <w:rPr/>
      </w:pPr>
    </w:p>
    <w:p>
      <w:pPr>
        <w:pStyle w:val="BodyText"/>
        <w:ind w:left="384" w:right="3"/>
        <w:spacing w:before="114" w:line="409" w:lineRule="auto"/>
        <w:rPr>
          <w:sz w:val="25"/>
          <w:szCs w:val="25"/>
        </w:rPr>
      </w:pPr>
      <w:r>
        <w:rPr>
          <w:sz w:val="25"/>
          <w:szCs w:val="25"/>
          <w:spacing w:val="8"/>
        </w:rPr>
        <w:t>于2024年7月31前支付5月份费用11454元；202</w:t>
      </w:r>
      <w:r>
        <w:rPr>
          <w:sz w:val="25"/>
          <w:szCs w:val="25"/>
          <w:spacing w:val="7"/>
        </w:rPr>
        <w:t>4年8月31前支付6月份费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11"/>
        </w:rPr>
        <w:t>用11727元。被告逾期支付咨询服务费的</w:t>
      </w:r>
      <w:r>
        <w:rPr>
          <w:sz w:val="25"/>
          <w:szCs w:val="25"/>
          <w:spacing w:val="10"/>
        </w:rPr>
        <w:t>，以被告应向原告支付的逾</w:t>
      </w:r>
      <w:r>
        <w:rPr>
          <w:sz w:val="25"/>
          <w:szCs w:val="25"/>
        </w:rPr>
        <w:t xml:space="preserve">  </w:t>
      </w:r>
      <w:r>
        <w:rPr>
          <w:sz w:val="25"/>
          <w:szCs w:val="25"/>
          <w:spacing w:val="11"/>
        </w:rPr>
        <w:t>期费用为基数，按日万分之五标准计算逾期付款违约金。同时如因被</w:t>
      </w:r>
      <w:r>
        <w:rPr>
          <w:sz w:val="25"/>
          <w:szCs w:val="25"/>
          <w:spacing w:val="17"/>
        </w:rPr>
        <w:t xml:space="preserve"> </w:t>
      </w:r>
      <w:r>
        <w:rPr>
          <w:sz w:val="25"/>
          <w:szCs w:val="25"/>
          <w:spacing w:val="12"/>
        </w:rPr>
        <w:t>告逾期支付服务费，原告通过司法程序主张权利的，被告自</w:t>
      </w:r>
      <w:r>
        <w:rPr>
          <w:sz w:val="25"/>
          <w:szCs w:val="25"/>
          <w:spacing w:val="11"/>
        </w:rPr>
        <w:t>愿承担原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11"/>
        </w:rPr>
        <w:t>告追索服务费和违约金所支出的全部维权费用(包含但不限于诉讼费</w:t>
      </w:r>
      <w:r>
        <w:rPr>
          <w:sz w:val="25"/>
          <w:szCs w:val="25"/>
          <w:spacing w:val="2"/>
        </w:rPr>
        <w:t xml:space="preserve">  </w:t>
      </w:r>
      <w:r>
        <w:rPr>
          <w:sz w:val="25"/>
          <w:szCs w:val="25"/>
          <w:spacing w:val="4"/>
        </w:rPr>
        <w:t>和律师代理费)。</w:t>
      </w:r>
    </w:p>
    <w:p>
      <w:pPr>
        <w:pStyle w:val="BodyText"/>
        <w:ind w:left="384" w:right="126" w:firstLine="510"/>
        <w:spacing w:before="69" w:line="414" w:lineRule="auto"/>
        <w:rPr>
          <w:sz w:val="25"/>
          <w:szCs w:val="25"/>
        </w:rPr>
      </w:pPr>
      <w:r>
        <w:rPr>
          <w:sz w:val="25"/>
          <w:szCs w:val="25"/>
          <w:spacing w:val="11"/>
        </w:rPr>
        <w:t>但时至今日，经原告多次催讨，被告仍未向原告支付服务费，被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6"/>
        </w:rPr>
        <w:t>告已构成违约，侵害了原告的合法权益。</w:t>
      </w:r>
    </w:p>
    <w:p>
      <w:pPr>
        <w:pStyle w:val="BodyText"/>
        <w:ind w:left="384" w:right="177" w:firstLine="510"/>
        <w:spacing w:before="7" w:line="412" w:lineRule="auto"/>
        <w:rPr>
          <w:sz w:val="25"/>
          <w:szCs w:val="25"/>
        </w:rPr>
      </w:pPr>
      <w:r>
        <w:rPr>
          <w:sz w:val="25"/>
          <w:szCs w:val="25"/>
          <w:spacing w:val="9"/>
        </w:rPr>
        <w:t>综上所述，为维护原告合法权益，特向贵院提起诉讼，请贵院依</w:t>
      </w:r>
      <w:r>
        <w:rPr>
          <w:sz w:val="25"/>
          <w:szCs w:val="25"/>
          <w:spacing w:val="4"/>
        </w:rPr>
        <w:t xml:space="preserve"> </w:t>
      </w:r>
      <w:r>
        <w:rPr>
          <w:sz w:val="25"/>
          <w:szCs w:val="25"/>
          <w:spacing w:val="4"/>
        </w:rPr>
        <w:t>法支持原告的各项诉讼请求。</w:t>
      </w:r>
    </w:p>
    <w:p>
      <w:pPr>
        <w:pStyle w:val="BodyText"/>
        <w:ind w:left="894"/>
        <w:spacing w:before="27" w:line="223" w:lineRule="auto"/>
        <w:rPr>
          <w:sz w:val="25"/>
          <w:szCs w:val="25"/>
        </w:rPr>
      </w:pPr>
      <w:r>
        <w:rPr>
          <w:sz w:val="25"/>
          <w:szCs w:val="25"/>
          <w:spacing w:val="-5"/>
        </w:rPr>
        <w:t>此致</w:t>
      </w:r>
    </w:p>
    <w:p>
      <w:pPr>
        <w:pStyle w:val="BodyText"/>
        <w:ind w:left="894"/>
        <w:spacing w:before="287" w:line="222" w:lineRule="auto"/>
        <w:rPr>
          <w:sz w:val="25"/>
          <w:szCs w:val="25"/>
        </w:rPr>
      </w:pPr>
      <w:r>
        <w:rPr>
          <w:sz w:val="25"/>
          <w:szCs w:val="25"/>
          <w:spacing w:val="7"/>
        </w:rPr>
        <w:t>上海市普陀区人民法院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4544"/>
        <w:spacing w:before="81" w:line="223" w:lineRule="auto"/>
        <w:rPr>
          <w:rFonts w:ascii="SimHei" w:hAnsi="SimHei" w:eastAsia="SimHei" w:cs="SimHei"/>
          <w:sz w:val="25"/>
          <w:szCs w:val="25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2701901</wp:posOffset>
            </wp:positionH>
            <wp:positionV relativeFrom="paragraph">
              <wp:posOffset>-748740</wp:posOffset>
            </wp:positionV>
            <wp:extent cx="1409740" cy="149226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9740" cy="149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25"/>
          <w:szCs w:val="25"/>
          <w:spacing w:val="8"/>
        </w:rPr>
        <w:t>具状八：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4274"/>
        <w:spacing w:before="98" w:line="222" w:lineRule="auto"/>
        <w:rPr>
          <w:sz w:val="30"/>
          <w:szCs w:val="30"/>
        </w:rPr>
      </w:pPr>
      <w:r>
        <w:rPr>
          <w:sz w:val="30"/>
          <w:szCs w:val="30"/>
          <w:spacing w:val="9"/>
        </w:rPr>
        <w:t>2024年厂月21日</w:t>
      </w:r>
    </w:p>
    <w:p>
      <w:pPr>
        <w:spacing w:line="222" w:lineRule="auto"/>
        <w:sectPr>
          <w:pgSz w:w="11900" w:h="16840"/>
          <w:pgMar w:top="1431" w:right="1785" w:bottom="0" w:left="1785" w:header="0" w:footer="0" w:gutter="0"/>
        </w:sectPr>
        <w:rPr>
          <w:sz w:val="30"/>
          <w:szCs w:val="30"/>
        </w:rPr>
      </w:pPr>
    </w:p>
    <w:p>
      <w:pPr>
        <w:pStyle w:val="BodyText"/>
        <w:ind w:left="3939"/>
        <w:spacing w:before="136" w:line="223" w:lineRule="auto"/>
        <w:rPr>
          <w:sz w:val="33"/>
          <w:szCs w:val="33"/>
        </w:rPr>
      </w:pPr>
      <w:r>
        <w:rPr>
          <w:sz w:val="33"/>
          <w:szCs w:val="33"/>
          <w:b/>
          <w:bCs/>
          <w:spacing w:val="-1"/>
        </w:rPr>
        <w:t>证据目录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808" w:right="4628"/>
        <w:spacing w:before="81" w:line="365" w:lineRule="auto"/>
        <w:rPr>
          <w:sz w:val="25"/>
          <w:szCs w:val="25"/>
        </w:rPr>
      </w:pPr>
      <w:r>
        <w:rPr>
          <w:sz w:val="25"/>
          <w:szCs w:val="25"/>
          <w:b/>
          <w:bCs/>
          <w:spacing w:val="10"/>
        </w:rPr>
        <w:t>证据一：原被告企业信息</w:t>
      </w:r>
      <w:r>
        <w:rPr>
          <w:sz w:val="25"/>
          <w:szCs w:val="25"/>
          <w:spacing w:val="2"/>
        </w:rPr>
        <w:t xml:space="preserve"> </w:t>
      </w:r>
      <w:r>
        <w:rPr>
          <w:sz w:val="25"/>
          <w:szCs w:val="25"/>
          <w:b/>
          <w:bCs/>
          <w:spacing w:val="-2"/>
        </w:rPr>
        <w:t>证明目的：</w:t>
      </w:r>
    </w:p>
    <w:p>
      <w:pPr>
        <w:pStyle w:val="BodyText"/>
        <w:ind w:left="805"/>
        <w:spacing w:before="37" w:line="222" w:lineRule="auto"/>
        <w:rPr>
          <w:sz w:val="25"/>
          <w:szCs w:val="25"/>
        </w:rPr>
      </w:pPr>
      <w:r>
        <w:rPr>
          <w:sz w:val="25"/>
          <w:szCs w:val="25"/>
          <w:spacing w:val="5"/>
        </w:rPr>
        <w:t>原被告主体适格。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808" w:right="4083"/>
        <w:spacing w:before="81" w:line="342" w:lineRule="auto"/>
        <w:rPr>
          <w:sz w:val="25"/>
          <w:szCs w:val="25"/>
        </w:rPr>
      </w:pPr>
      <w:r>
        <w:rPr>
          <w:sz w:val="25"/>
          <w:szCs w:val="25"/>
          <w:b/>
          <w:bCs/>
          <w:spacing w:val="11"/>
        </w:rPr>
        <w:t>证据二：《解除合同协议书》</w:t>
      </w:r>
      <w:r>
        <w:rPr>
          <w:sz w:val="25"/>
          <w:szCs w:val="25"/>
          <w:spacing w:val="9"/>
        </w:rPr>
        <w:t xml:space="preserve"> </w:t>
      </w:r>
      <w:r>
        <w:rPr>
          <w:sz w:val="25"/>
          <w:szCs w:val="25"/>
          <w:b/>
          <w:bCs/>
          <w:spacing w:val="-2"/>
        </w:rPr>
        <w:t>证明目的：</w:t>
      </w:r>
    </w:p>
    <w:p>
      <w:pPr>
        <w:pStyle w:val="BodyText"/>
        <w:ind w:left="805"/>
        <w:spacing w:before="88" w:line="222" w:lineRule="auto"/>
        <w:rPr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15"/>
        </w:rPr>
        <w:t>1、</w:t>
      </w:r>
      <w:r>
        <w:rPr>
          <w:sz w:val="25"/>
          <w:szCs w:val="25"/>
          <w:spacing w:val="15"/>
        </w:rPr>
        <w:t>原被告协商约定解除《咨询服务合同》;</w:t>
      </w:r>
    </w:p>
    <w:p>
      <w:pPr>
        <w:pStyle w:val="BodyText"/>
        <w:ind w:left="805"/>
        <w:spacing w:before="199" w:line="222" w:lineRule="auto"/>
        <w:rPr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14"/>
        </w:rPr>
        <w:t>2、</w:t>
      </w:r>
      <w:r>
        <w:rPr>
          <w:sz w:val="25"/>
          <w:szCs w:val="25"/>
          <w:spacing w:val="14"/>
        </w:rPr>
        <w:t>双方约定被告向原告支付服务费的金额及时间；</w:t>
      </w:r>
    </w:p>
    <w:p>
      <w:pPr>
        <w:pStyle w:val="BodyText"/>
        <w:ind w:left="304" w:right="180" w:firstLine="500"/>
        <w:spacing w:before="200" w:line="295" w:lineRule="auto"/>
        <w:rPr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17"/>
        </w:rPr>
        <w:t>3、</w:t>
      </w:r>
      <w:r>
        <w:rPr>
          <w:sz w:val="25"/>
          <w:szCs w:val="25"/>
          <w:spacing w:val="17"/>
        </w:rPr>
        <w:t>双方约定违约责任的承担方式，被告自愿</w:t>
      </w:r>
      <w:r>
        <w:rPr>
          <w:sz w:val="25"/>
          <w:szCs w:val="25"/>
          <w:spacing w:val="16"/>
        </w:rPr>
        <w:t>承担原告主张权利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11"/>
        </w:rPr>
        <w:t>的维权费，包括诉讼费、律师代理费等。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808" w:right="1397"/>
        <w:spacing w:before="81" w:line="368" w:lineRule="auto"/>
        <w:rPr>
          <w:sz w:val="25"/>
          <w:szCs w:val="25"/>
        </w:rPr>
      </w:pPr>
      <w:r>
        <w:rPr>
          <w:sz w:val="25"/>
          <w:szCs w:val="25"/>
          <w:b/>
          <w:bCs/>
          <w:spacing w:val="13"/>
        </w:rPr>
        <w:t>证据三：《委托代理协议》、转账记录、律师费发票</w:t>
      </w:r>
      <w:r>
        <w:rPr>
          <w:sz w:val="25"/>
          <w:szCs w:val="25"/>
          <w:spacing w:val="13"/>
        </w:rPr>
        <w:t xml:space="preserve"> </w:t>
      </w:r>
      <w:r>
        <w:rPr>
          <w:sz w:val="25"/>
          <w:szCs w:val="25"/>
          <w:b/>
          <w:bCs/>
          <w:spacing w:val="-5"/>
        </w:rPr>
        <w:t>证明目的：</w:t>
      </w:r>
    </w:p>
    <w:p>
      <w:pPr>
        <w:pStyle w:val="BodyText"/>
        <w:ind w:left="805"/>
        <w:spacing w:before="33" w:line="222" w:lineRule="auto"/>
        <w:rPr>
          <w:sz w:val="25"/>
          <w:szCs w:val="25"/>
        </w:rPr>
      </w:pPr>
      <w:r>
        <w:rPr>
          <w:sz w:val="25"/>
          <w:szCs w:val="25"/>
          <w:spacing w:val="9"/>
        </w:rPr>
        <w:t>原告主张权利的律师代理费金额。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4544"/>
        <w:spacing w:before="87" w:line="203" w:lineRule="auto"/>
        <w:rPr>
          <w:rFonts w:ascii="STXingkai" w:hAnsi="STXingkai" w:eastAsia="STXingkai" w:cs="STXingkai"/>
          <w:sz w:val="25"/>
          <w:szCs w:val="25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2809513</wp:posOffset>
            </wp:positionH>
            <wp:positionV relativeFrom="paragraph">
              <wp:posOffset>-441358</wp:posOffset>
            </wp:positionV>
            <wp:extent cx="1391041" cy="146697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1041" cy="14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TXingkai" w:hAnsi="STXingkai" w:eastAsia="STXingkai" w:cs="STXingkai"/>
          <w:sz w:val="25"/>
          <w:szCs w:val="25"/>
          <w:spacing w:val="-3"/>
        </w:rPr>
        <w:t>提交人：</w:t>
      </w:r>
    </w:p>
    <w:p>
      <w:pPr>
        <w:ind w:left="4315"/>
        <w:spacing w:before="231" w:line="237" w:lineRule="auto"/>
        <w:rPr>
          <w:rFonts w:ascii="STXingkai" w:hAnsi="STXingkai" w:eastAsia="STXingkai" w:cs="STXingkai"/>
          <w:sz w:val="25"/>
          <w:szCs w:val="25"/>
        </w:rPr>
      </w:pPr>
      <w:r>
        <w:rPr>
          <w:rFonts w:ascii="STXingkai" w:hAnsi="STXingkai" w:eastAsia="STXingkai" w:cs="STXingkai"/>
          <w:sz w:val="25"/>
          <w:szCs w:val="25"/>
          <w:spacing w:val="3"/>
        </w:rPr>
        <w:t>2</w:t>
      </w:r>
      <w:r>
        <w:rPr>
          <w:rFonts w:ascii="STXingkai" w:hAnsi="STXingkai" w:eastAsia="STXingkai" w:cs="STXingkai"/>
          <w:sz w:val="25"/>
          <w:szCs w:val="25"/>
          <w:spacing w:val="2"/>
        </w:rPr>
        <w:t xml:space="preserve"> </w:t>
      </w:r>
      <w:r>
        <w:rPr>
          <w:rFonts w:ascii="STXingkai" w:hAnsi="STXingkai" w:eastAsia="STXingkai" w:cs="STXingkai"/>
          <w:sz w:val="25"/>
          <w:szCs w:val="25"/>
          <w:spacing w:val="3"/>
        </w:rPr>
        <w:t>0 2</w:t>
      </w:r>
      <w:r>
        <w:rPr>
          <w:rFonts w:ascii="STXingkai" w:hAnsi="STXingkai" w:eastAsia="STXingkai" w:cs="STXingkai"/>
          <w:sz w:val="25"/>
          <w:szCs w:val="25"/>
          <w:spacing w:val="-7"/>
        </w:rPr>
        <w:t xml:space="preserve"> </w:t>
      </w:r>
      <w:r>
        <w:rPr>
          <w:rFonts w:ascii="STXingkai" w:hAnsi="STXingkai" w:eastAsia="STXingkai" w:cs="STXingkai"/>
          <w:sz w:val="25"/>
          <w:szCs w:val="25"/>
          <w:spacing w:val="3"/>
        </w:rPr>
        <w:t>4 年 1 1月</w:t>
      </w:r>
      <w:r>
        <w:rPr>
          <w:rFonts w:ascii="STXingkai" w:hAnsi="STXingkai" w:eastAsia="STXingkai" w:cs="STXingkai"/>
          <w:sz w:val="25"/>
          <w:szCs w:val="25"/>
          <w:spacing w:val="14"/>
        </w:rPr>
        <w:t xml:space="preserve">  </w:t>
      </w:r>
      <w:r>
        <w:rPr>
          <w:rFonts w:ascii="STXingkai" w:hAnsi="STXingkai" w:eastAsia="STXingkai" w:cs="STXingkai"/>
          <w:sz w:val="25"/>
          <w:szCs w:val="25"/>
          <w:spacing w:val="3"/>
        </w:rPr>
        <w:t>4</w:t>
      </w:r>
    </w:p>
    <w:sectPr>
      <w:pgSz w:w="11900" w:h="16840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2025-03-05T16:08:32Z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2025-03-05T16:08:33</vt:filetime>
  </property>
  <property fmtid="{D5CDD505-2E9C-101B-9397-08002B2CF9AE}" pid="4" name="UsrData">
    <vt:lpwstr>67c8067ebfc444001f30c1c6wl</vt:lpwstr>
  </property>
</Properties>
</file>